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F5" w:rsidRPr="00197626" w:rsidRDefault="004A20F5" w:rsidP="004A20F5">
      <w:pPr>
        <w:pStyle w:val="default"/>
        <w:ind w:left="30" w:right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97626">
        <w:rPr>
          <w:rFonts w:ascii="Arial" w:hAnsi="Arial" w:cs="Arial"/>
          <w:sz w:val="22"/>
          <w:szCs w:val="22"/>
        </w:rPr>
        <w:t>uando el Índice de Masa Corporal (IMC) sea mayor a cuarenta (40%) sin comorbilidad y mayor a treinta y cinco (35%) si tiene comorbilidad asociada (diabetes, hipertensión arterial, hipercolesterolemia, enfermedad coronaria y similares).  Para evaluar el beneficio será necesario presentar este formulario.</w:t>
      </w:r>
    </w:p>
    <w:p w:rsidR="00454DF9" w:rsidRPr="004A20F5" w:rsidRDefault="00454DF9" w:rsidP="004A20F5">
      <w:bookmarkStart w:id="0" w:name="_GoBack"/>
      <w:bookmarkEnd w:id="0"/>
    </w:p>
    <w:sectPr w:rsidR="00454DF9" w:rsidRPr="004A20F5" w:rsidSect="004A20F5">
      <w:pgSz w:w="5670" w:h="8392" w:code="4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580"/>
    <w:multiLevelType w:val="multilevel"/>
    <w:tmpl w:val="473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11C83"/>
    <w:multiLevelType w:val="multilevel"/>
    <w:tmpl w:val="EA9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F9"/>
    <w:rsid w:val="00454DF9"/>
    <w:rsid w:val="004A20F5"/>
    <w:rsid w:val="00B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0749"/>
  <w15:chartTrackingRefBased/>
  <w15:docId w15:val="{FA654AAF-26EE-4BF1-A5FA-0BB35D96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54DF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54DF9"/>
    <w:rPr>
      <w:b/>
      <w:bCs/>
    </w:rPr>
  </w:style>
  <w:style w:type="paragraph" w:customStyle="1" w:styleId="default">
    <w:name w:val="default"/>
    <w:basedOn w:val="Normal"/>
    <w:rsid w:val="004A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Carrión Cárdenas</dc:creator>
  <cp:keywords/>
  <dc:description/>
  <cp:lastModifiedBy>María Angélica Carrión Cárdenas</cp:lastModifiedBy>
  <cp:revision>2</cp:revision>
  <dcterms:created xsi:type="dcterms:W3CDTF">2019-11-06T12:46:00Z</dcterms:created>
  <dcterms:modified xsi:type="dcterms:W3CDTF">2019-11-06T12:46:00Z</dcterms:modified>
</cp:coreProperties>
</file>